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Representação CRE/SP nº 461/2013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Representante: Diretório Estadual do Partido da Social Democracia Brasileira – PSDB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Representado: Diretório Estadual do Partido dos Trabalhadores – PT 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Assunto: Irregularidade em propaganda político-partidária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</w:p>
    <w:p w:rsidR="00000000" w:rsidRDefault="003F0505"/>
    <w:p w:rsidR="00000000" w:rsidRDefault="003F0505"/>
    <w:p w:rsidR="00000000" w:rsidRDefault="003F0505"/>
    <w:p w:rsidR="00000000" w:rsidRDefault="003F0505"/>
    <w:p w:rsidR="00000000" w:rsidRDefault="003F0505"/>
    <w:p w:rsidR="00000000" w:rsidRDefault="003F0505"/>
    <w:p w:rsidR="00000000" w:rsidRDefault="003F0505"/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Vist</w:t>
      </w:r>
      <w:r>
        <w:rPr>
          <w:rFonts w:ascii="Garamond" w:hAnsi="Garamond"/>
          <w:sz w:val="28"/>
        </w:rPr>
        <w:t>os estes autos de representação de propaganda político-partidária formulada pelo Diretório Estadual do Partido da Social Democracia Brasileira – PSDB em face do Diretório Estadual do Partido dos Trabalhadores – PT, em que se alega desvirtuamento da finalid</w:t>
      </w:r>
      <w:r>
        <w:rPr>
          <w:rFonts w:ascii="Garamond" w:hAnsi="Garamond"/>
          <w:sz w:val="28"/>
        </w:rPr>
        <w:t xml:space="preserve">ade a que se destina referida propaganda, na modalidade de inserção estadual, veiculada na televisão e no rádio, no dia 28 e 30 de agosto de 2013, com o seguinte teor:. 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DEPUTADO LUIZ MARCOLINO – “Você  já imaginou o metrô com 26 quilômetros a mais, cruza</w:t>
      </w:r>
      <w:r>
        <w:rPr>
          <w:rFonts w:ascii="Garamond" w:hAnsi="Garamond"/>
          <w:sz w:val="28"/>
        </w:rPr>
        <w:t>ndo toda a cidade, capaz de transportar com conforto e rapidez mais de um milhão de pessoas por dia? Ou com tarifa zero? Seria assim, se não fossem os desvios bilionários do governo estadual nos escândalos do metrô e na CPTM. É necessária uma rigorosa apur</w:t>
      </w:r>
      <w:r>
        <w:rPr>
          <w:rFonts w:ascii="Garamond" w:hAnsi="Garamond"/>
          <w:sz w:val="28"/>
        </w:rPr>
        <w:t>ação. Queremos transparência.”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Requereu o representante, liminarmente, a cessação da veiculação da referida inserção, a qual foi apreciada e indeferida pelo Presidente desta Corte, no dia 2/9, nos seguintes termos: “Neste exame perfunctório cabível na esp</w:t>
      </w:r>
      <w:r>
        <w:rPr>
          <w:rFonts w:ascii="Garamond" w:hAnsi="Garamond"/>
          <w:sz w:val="28"/>
        </w:rPr>
        <w:t xml:space="preserve">écie, não se verificam </w:t>
      </w:r>
      <w:r>
        <w:rPr>
          <w:rFonts w:ascii="Garamond" w:hAnsi="Garamond"/>
          <w:sz w:val="28"/>
        </w:rPr>
        <w:lastRenderedPageBreak/>
        <w:t xml:space="preserve">presentes os requisitos da liminar, além de que, a meu juízo, a concessão da medida de urgência implicaria censura prévia. Posto isso, indefiro a liminar.” 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Com a veiculação de inserção de igual teor no dia 2/9, sobreveio pedido de </w:t>
      </w:r>
      <w:r>
        <w:rPr>
          <w:rFonts w:ascii="Garamond" w:hAnsi="Garamond"/>
          <w:sz w:val="28"/>
        </w:rPr>
        <w:t>reconsideração da decisão que indeferiu a liminar (fls.23).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Anoto que, para a concessão de liminar, necessária a presença de dois requisitos: o </w:t>
      </w:r>
      <w:r>
        <w:rPr>
          <w:rFonts w:ascii="Garamond" w:hAnsi="Garamond"/>
          <w:b/>
          <w:sz w:val="28"/>
        </w:rPr>
        <w:t>fumus boni iuris</w:t>
      </w:r>
      <w:r>
        <w:rPr>
          <w:rFonts w:ascii="Garamond" w:hAnsi="Garamond"/>
          <w:sz w:val="28"/>
        </w:rPr>
        <w:t xml:space="preserve"> e o </w:t>
      </w:r>
      <w:r>
        <w:rPr>
          <w:rFonts w:ascii="Garamond" w:hAnsi="Garamond"/>
          <w:b/>
          <w:sz w:val="28"/>
        </w:rPr>
        <w:t>periculum in mora</w:t>
      </w:r>
      <w:r>
        <w:rPr>
          <w:rFonts w:ascii="Garamond" w:hAnsi="Garamond"/>
          <w:sz w:val="28"/>
        </w:rPr>
        <w:t xml:space="preserve">. 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Por primeiro, o </w:t>
      </w:r>
      <w:r>
        <w:rPr>
          <w:rFonts w:ascii="Garamond" w:hAnsi="Garamond"/>
          <w:b/>
          <w:sz w:val="28"/>
        </w:rPr>
        <w:t>fumus boni iuris</w:t>
      </w:r>
      <w:r>
        <w:rPr>
          <w:rFonts w:ascii="Garamond" w:hAnsi="Garamond"/>
          <w:sz w:val="28"/>
        </w:rPr>
        <w:t>, ou seja, o fundamento relevante par</w:t>
      </w:r>
      <w:r>
        <w:rPr>
          <w:rFonts w:ascii="Garamond" w:hAnsi="Garamond"/>
          <w:sz w:val="28"/>
        </w:rPr>
        <w:t>a a concessão da liminar consiste na veracidade dos fatos e sua comprovação, ora demonstrada com a transcrição do programa impugnado e sua respectiva gravação em mídia, além de ser fato público e notório sua divulgação nos meios de comunicação. Portanto, a</w:t>
      </w:r>
      <w:r>
        <w:rPr>
          <w:rFonts w:ascii="Garamond" w:hAnsi="Garamond"/>
          <w:sz w:val="28"/>
        </w:rPr>
        <w:t xml:space="preserve"> prova que instruí a inicial é suficiente e permite a prestação jurisdicional de urgência.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Quanto ao segundo requisito, atinente ao </w:t>
      </w:r>
      <w:r>
        <w:rPr>
          <w:rFonts w:ascii="Garamond" w:hAnsi="Garamond"/>
          <w:b/>
          <w:sz w:val="28"/>
        </w:rPr>
        <w:t>periculum in mora</w:t>
      </w:r>
      <w:r>
        <w:rPr>
          <w:rFonts w:ascii="Garamond" w:hAnsi="Garamond"/>
          <w:sz w:val="28"/>
        </w:rPr>
        <w:t xml:space="preserve">, que exige a necessidade da prestação da tutela com urgência antes do julgamento da representação, a fim </w:t>
      </w:r>
      <w:r>
        <w:rPr>
          <w:rFonts w:ascii="Garamond" w:hAnsi="Garamond"/>
          <w:sz w:val="28"/>
        </w:rPr>
        <w:t>de evitar dano irreparável com a promoção pessoal de filiados que eventualmente venham a concorrer às eleições vindouras, em detrimento dos demais concorrentes, verifico, igualmente, sua presença, pois conforme as tabelas de distribuição de inserções de pr</w:t>
      </w:r>
      <w:r>
        <w:rPr>
          <w:rFonts w:ascii="Garamond" w:hAnsi="Garamond"/>
          <w:sz w:val="28"/>
        </w:rPr>
        <w:t>opaganda político-partidária deste Tribunal, o representado possui tempo destinado à veiculação de propaganda partidária em emissoras de rádio e televisão no próximo dia 4 de setembro, impondo a urgência da medida.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Nesse sentido, em que pese a decisão de </w:t>
      </w:r>
      <w:r>
        <w:rPr>
          <w:rFonts w:ascii="Garamond" w:hAnsi="Garamond"/>
          <w:sz w:val="28"/>
        </w:rPr>
        <w:t xml:space="preserve">fls. 2, ao primeiro </w:t>
      </w:r>
      <w:r>
        <w:rPr>
          <w:rFonts w:ascii="Garamond" w:hAnsi="Garamond"/>
          <w:sz w:val="28"/>
        </w:rPr>
        <w:lastRenderedPageBreak/>
        <w:t>exame e nos limites do conhecimento da matéria admissível nesta oportunidade, verifico que a inserção estadual impugnada ultrapassa os limites traçados pelos incisos I a III do caput do art. 45 da Lei nº 9.096/95 à propaganda partidária</w:t>
      </w:r>
      <w:r>
        <w:rPr>
          <w:rFonts w:ascii="Garamond" w:hAnsi="Garamond"/>
          <w:sz w:val="28"/>
        </w:rPr>
        <w:t xml:space="preserve"> gratuita. Há, em tese, a violação da regra do inciso II do § 1º do mesmo art. 45.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Voga nas mesmas águas recente decisão em que o Ministro Aldir Passarinho, Corregedor-Geral da Justiça Eleitoral, deferiu liminar na Representação nº 1410-41.2010.6.00.0000/</w:t>
      </w:r>
      <w:r>
        <w:rPr>
          <w:rFonts w:ascii="Garamond" w:hAnsi="Garamond"/>
          <w:sz w:val="28"/>
        </w:rPr>
        <w:t>DF, j. em 17/6/2010, cujo trecho transcrevo: “Não se observa, nas peças inquinadas de irregulares, difusão dos programas partidários, transmissão de mensagem aos filiados sobre a sua execução, divulgação da posição do PSDB sobre temas político-comunitários</w:t>
      </w:r>
      <w:r>
        <w:rPr>
          <w:rFonts w:ascii="Garamond" w:hAnsi="Garamond"/>
          <w:sz w:val="28"/>
        </w:rPr>
        <w:t>, nem a promoção da participação política feminina, mas a apresentação de manifestações pessoais de filiado, confirmadas nas expressões ‘esse é o meu jeito, como eu sempre fiz. Do fundo do meu coração: é nisso que eu acredito’, ‘Eu acho que já  passou da h</w:t>
      </w:r>
      <w:r>
        <w:rPr>
          <w:rFonts w:ascii="Garamond" w:hAnsi="Garamond"/>
          <w:sz w:val="28"/>
        </w:rPr>
        <w:t>ora’ e ‘Dá para fazer. Vamos juntos melhorar a saúde do nosso país.”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Diante do exposto, defiro a liminar, notificando-se o representado, inclusive via fac-símile, para que se abstenha de veicular as inserções </w:t>
      </w:r>
      <w:r>
        <w:rPr>
          <w:rFonts w:ascii="Garamond" w:hAnsi="Garamond"/>
          <w:b/>
          <w:sz w:val="28"/>
        </w:rPr>
        <w:t>sub iudice</w:t>
      </w:r>
      <w:r>
        <w:rPr>
          <w:rFonts w:ascii="Garamond" w:hAnsi="Garamond"/>
          <w:sz w:val="28"/>
        </w:rPr>
        <w:t>, ressalvado o direito de veicular o</w:t>
      </w:r>
      <w:r>
        <w:rPr>
          <w:rFonts w:ascii="Garamond" w:hAnsi="Garamond"/>
          <w:sz w:val="28"/>
        </w:rPr>
        <w:t>utras inserções com conteúdo diverso.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Ad cautelam</w:t>
      </w:r>
      <w:r>
        <w:rPr>
          <w:rFonts w:ascii="Garamond" w:hAnsi="Garamond"/>
          <w:sz w:val="28"/>
        </w:rPr>
        <w:t>, notifiquem-se os diretores de programação das principais emissoras de rádio e televisão de São Paulo, para que se abstenham de veicular a inserção do Partido dos Trabalhadores - PT com os teores discrimin</w:t>
      </w:r>
      <w:r>
        <w:rPr>
          <w:rFonts w:ascii="Garamond" w:hAnsi="Garamond"/>
          <w:sz w:val="28"/>
        </w:rPr>
        <w:t xml:space="preserve">ados na inicial, dando ciência desta decisão às suas afiliadas. 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Defiro o aditamento da inicial, cabendo à Secretaria a retificação da autuação para inclusão do dia 3 de setembro.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Notifique-se o representado para que apresente defesa no prazo de cinco di</w:t>
      </w:r>
      <w:r>
        <w:rPr>
          <w:rFonts w:ascii="Garamond" w:hAnsi="Garamond"/>
          <w:sz w:val="28"/>
        </w:rPr>
        <w:t>as.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Publique-se.</w:t>
      </w:r>
    </w:p>
    <w:p w:rsidR="00000000" w:rsidRDefault="003F0505"/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São Paulo, 4 de setembro de 2013.</w:t>
      </w: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rPr>
          <w:rFonts w:ascii="Garamond" w:hAnsi="Garamond"/>
          <w:sz w:val="28"/>
        </w:rPr>
      </w:pPr>
    </w:p>
    <w:p w:rsidR="00000000" w:rsidRDefault="003F0505">
      <w:pPr>
        <w:pStyle w:val="Ttulo6"/>
        <w:keepNext w:val="0"/>
        <w:widowControl w:val="0"/>
        <w:spacing w:line="360" w:lineRule="exact"/>
        <w:ind w:right="567" w:firstLine="708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Antônio Carlos Mathias Coltro</w:t>
      </w:r>
    </w:p>
    <w:p w:rsidR="003F0505" w:rsidRDefault="003F0505">
      <w:pPr>
        <w:pStyle w:val="Ttulo6"/>
        <w:keepNext w:val="0"/>
        <w:widowControl w:val="0"/>
        <w:spacing w:line="360" w:lineRule="exact"/>
        <w:ind w:right="567" w:firstLine="708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Corregedor Regional Eleitoral</w:t>
      </w:r>
    </w:p>
    <w:sectPr w:rsidR="003F0505">
      <w:headerReference w:type="default" r:id="rId7"/>
      <w:footerReference w:type="even" r:id="rId8"/>
      <w:footerReference w:type="default" r:id="rId9"/>
      <w:pgSz w:w="11907" w:h="16840" w:code="9"/>
      <w:pgMar w:top="3238" w:right="1843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05" w:rsidRDefault="003F0505">
      <w:r>
        <w:separator/>
      </w:r>
    </w:p>
  </w:endnote>
  <w:endnote w:type="continuationSeparator" w:id="1">
    <w:p w:rsidR="003F0505" w:rsidRDefault="003F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05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3F050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05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311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3F0505">
    <w:pPr>
      <w:pStyle w:val="Rodap"/>
      <w:framePr w:wrap="auto" w:vAnchor="text" w:hAnchor="margin" w:xAlign="right" w:y="1"/>
      <w:ind w:right="360"/>
      <w:rPr>
        <w:rStyle w:val="Nmerodepgina"/>
        <w:rFonts w:ascii="Arial" w:hAnsi="Arial"/>
        <w:sz w:val="18"/>
      </w:rPr>
    </w:pPr>
  </w:p>
  <w:p w:rsidR="00000000" w:rsidRDefault="003F0505">
    <w:pPr>
      <w:jc w:val="center"/>
      <w:rPr>
        <w:rFonts w:ascii="Garamond" w:hAnsi="Garamon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05" w:rsidRDefault="003F0505">
      <w:r>
        <w:separator/>
      </w:r>
    </w:p>
  </w:footnote>
  <w:footnote w:type="continuationSeparator" w:id="1">
    <w:p w:rsidR="003F0505" w:rsidRDefault="003F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311A">
    <w:pPr>
      <w:pStyle w:val="Cabealho"/>
      <w:tabs>
        <w:tab w:val="clear" w:pos="4419"/>
        <w:tab w:val="center" w:pos="3969"/>
      </w:tabs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1851660</wp:posOffset>
          </wp:positionH>
          <wp:positionV relativeFrom="paragraph">
            <wp:posOffset>6985</wp:posOffset>
          </wp:positionV>
          <wp:extent cx="1005840" cy="1097280"/>
          <wp:effectExtent l="1905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05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83.4pt;margin-top:-13.85pt;width:79.25pt;height:108.05pt;z-index:251657728;visibility:visible;mso-wrap-edited:f;mso-position-horizontal-relative:text;mso-position-vertical-relative:text" o:allowincell="f">
          <v:imagedata r:id="rId2" o:title=""/>
          <w10:wrap type="topAndBottom"/>
        </v:shape>
        <o:OLEObject Type="Embed" ProgID="Word.Picture.8" ShapeID="_x0000_s1026" DrawAspect="Content" ObjectID="_1439828040" r:id="rId3"/>
      </w:pict>
    </w:r>
    <w:r w:rsidR="003F0505">
      <w:rPr>
        <w:sz w:val="20"/>
      </w:rPr>
      <w:t xml:space="preserve">                                                                                                                                        </w:t>
    </w:r>
  </w:p>
  <w:p w:rsidR="00000000" w:rsidRDefault="003F0505">
    <w:pPr>
      <w:pStyle w:val="Cabealho"/>
    </w:pPr>
  </w:p>
  <w:p w:rsidR="00000000" w:rsidRDefault="003F05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7pt;margin-top:37.75pt;width:424.8pt;height:57.6pt;z-index:251656704" o:allowincell="f" stroked="f">
          <v:textbox style="mso-next-textbox:#_x0000_s1025">
            <w:txbxContent>
              <w:p w:rsidR="00000000" w:rsidRDefault="003F0505">
                <w:pPr>
                  <w:jc w:val="center"/>
                  <w:rPr>
                    <w:rFonts w:ascii="English" w:hAnsi="English"/>
                    <w:b/>
                    <w:sz w:val="40"/>
                  </w:rPr>
                </w:pPr>
              </w:p>
              <w:p w:rsidR="00000000" w:rsidRDefault="003F0505">
                <w:pPr>
                  <w:jc w:val="center"/>
                  <w:rPr>
                    <w:rFonts w:ascii="Arial" w:hAnsi="Arial"/>
                    <w:sz w:val="40"/>
                  </w:rPr>
                </w:pPr>
                <w:r>
                  <w:rPr>
                    <w:rFonts w:ascii="English" w:hAnsi="English"/>
                    <w:sz w:val="40"/>
                  </w:rPr>
                  <w:t>Tribunal Regional Eleitoral do Estado de São Paulo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E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664685"/>
    <w:multiLevelType w:val="singleLevel"/>
    <w:tmpl w:val="37CE688A"/>
    <w:lvl w:ilvl="0">
      <w:start w:val="1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ascii="Bookman Old Style" w:hAnsi="Bookman Old Style" w:hint="default"/>
        <w:sz w:val="24"/>
      </w:rPr>
    </w:lvl>
  </w:abstractNum>
  <w:abstractNum w:abstractNumId="2">
    <w:nsid w:val="17A4156B"/>
    <w:multiLevelType w:val="singleLevel"/>
    <w:tmpl w:val="8544ED82"/>
    <w:lvl w:ilvl="0">
      <w:start w:val="1"/>
      <w:numFmt w:val="upperLetter"/>
      <w:pStyle w:val="Ttulo2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0C02D54"/>
    <w:multiLevelType w:val="multilevel"/>
    <w:tmpl w:val="6E32FF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401E"/>
    <w:multiLevelType w:val="singleLevel"/>
    <w:tmpl w:val="F6C802B8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>
    <w:nsid w:val="2FFD47F9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3B3AC8"/>
    <w:multiLevelType w:val="singleLevel"/>
    <w:tmpl w:val="B35C6BF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Bookman Old Style" w:hAnsi="Bookman Old Style" w:hint="default"/>
        <w:sz w:val="24"/>
      </w:rPr>
    </w:lvl>
  </w:abstractNum>
  <w:abstractNum w:abstractNumId="7">
    <w:nsid w:val="3F4C16B0"/>
    <w:multiLevelType w:val="singleLevel"/>
    <w:tmpl w:val="334C5AC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106491C"/>
    <w:multiLevelType w:val="multilevel"/>
    <w:tmpl w:val="DBACEB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934BE"/>
    <w:multiLevelType w:val="singleLevel"/>
    <w:tmpl w:val="876A8B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C25058"/>
    <w:multiLevelType w:val="singleLevel"/>
    <w:tmpl w:val="124C488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A250BA"/>
    <w:multiLevelType w:val="multilevel"/>
    <w:tmpl w:val="609A4B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14DF4"/>
    <w:multiLevelType w:val="multilevel"/>
    <w:tmpl w:val="87DA43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73F23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5D3778"/>
    <w:multiLevelType w:val="singleLevel"/>
    <w:tmpl w:val="24E85CCC"/>
    <w:lvl w:ilvl="0">
      <w:start w:val="1"/>
      <w:numFmt w:val="lowerLetter"/>
      <w:lvlText w:val="%1)"/>
      <w:lvlJc w:val="left"/>
      <w:pPr>
        <w:tabs>
          <w:tab w:val="num" w:pos="1069"/>
        </w:tabs>
        <w:ind w:left="680" w:firstLine="29"/>
      </w:pPr>
      <w:rPr>
        <w:b/>
        <w:i w:val="0"/>
      </w:rPr>
    </w:lvl>
  </w:abstractNum>
  <w:abstractNum w:abstractNumId="15">
    <w:nsid w:val="4F827A20"/>
    <w:multiLevelType w:val="multilevel"/>
    <w:tmpl w:val="D7821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26597"/>
    <w:multiLevelType w:val="singleLevel"/>
    <w:tmpl w:val="31E0EA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4567C15"/>
    <w:multiLevelType w:val="multilevel"/>
    <w:tmpl w:val="2E745C8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A82735"/>
    <w:multiLevelType w:val="multilevel"/>
    <w:tmpl w:val="768068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05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BB63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F865B8"/>
    <w:multiLevelType w:val="singleLevel"/>
    <w:tmpl w:val="A2A2AA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F0235F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9"/>
  </w:num>
  <w:num w:numId="5">
    <w:abstractNumId w:val="21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17"/>
  </w:num>
  <w:num w:numId="11">
    <w:abstractNumId w:val="11"/>
  </w:num>
  <w:num w:numId="12">
    <w:abstractNumId w:val="3"/>
  </w:num>
  <w:num w:numId="13">
    <w:abstractNumId w:val="16"/>
  </w:num>
  <w:num w:numId="14">
    <w:abstractNumId w:val="1"/>
  </w:num>
  <w:num w:numId="15">
    <w:abstractNumId w:val="7"/>
  </w:num>
  <w:num w:numId="16">
    <w:abstractNumId w:val="22"/>
  </w:num>
  <w:num w:numId="17">
    <w:abstractNumId w:val="0"/>
  </w:num>
  <w:num w:numId="18">
    <w:abstractNumId w:val="2"/>
  </w:num>
  <w:num w:numId="19">
    <w:abstractNumId w:val="5"/>
  </w:num>
  <w:num w:numId="20">
    <w:abstractNumId w:val="13"/>
  </w:num>
  <w:num w:numId="21">
    <w:abstractNumId w:val="10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311A"/>
    <w:rsid w:val="003F0505"/>
    <w:rsid w:val="00C7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exact"/>
      <w:ind w:firstLine="709"/>
      <w:jc w:val="both"/>
      <w:outlineLvl w:val="0"/>
    </w:pPr>
    <w:rPr>
      <w:rFonts w:ascii="Garamond" w:hAnsi="Garamond"/>
      <w:color w:val="FF0000"/>
      <w:sz w:val="28"/>
    </w:rPr>
  </w:style>
  <w:style w:type="paragraph" w:styleId="Ttulo2">
    <w:name w:val="heading 2"/>
    <w:basedOn w:val="Normal"/>
    <w:next w:val="Normal"/>
    <w:qFormat/>
    <w:pPr>
      <w:keepNext/>
      <w:numPr>
        <w:numId w:val="18"/>
      </w:numPr>
      <w:spacing w:line="360" w:lineRule="exact"/>
      <w:jc w:val="right"/>
      <w:outlineLvl w:val="1"/>
    </w:pPr>
    <w:rPr>
      <w:rFonts w:ascii="Garamond" w:hAnsi="Garamond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exact"/>
      <w:ind w:left="709"/>
      <w:jc w:val="both"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851"/>
      </w:tabs>
      <w:spacing w:line="360" w:lineRule="exact"/>
      <w:jc w:val="both"/>
      <w:outlineLvl w:val="3"/>
    </w:pPr>
    <w:rPr>
      <w:rFonts w:ascii="Garamond" w:hAnsi="Garamond"/>
      <w:sz w:val="28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rFonts w:ascii="Garamond" w:hAnsi="Garamond"/>
      <w:b/>
      <w:sz w:val="28"/>
    </w:rPr>
  </w:style>
  <w:style w:type="paragraph" w:styleId="Ttulo6">
    <w:name w:val="heading 6"/>
    <w:basedOn w:val="Normal"/>
    <w:next w:val="Normal"/>
    <w:qFormat/>
    <w:pPr>
      <w:keepNext/>
      <w:ind w:right="1608"/>
      <w:jc w:val="both"/>
      <w:outlineLvl w:val="5"/>
    </w:pPr>
    <w:rPr>
      <w:rFonts w:ascii="Bookman Old Style" w:hAnsi="Bookman Old Style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exact"/>
      <w:ind w:firstLine="708"/>
      <w:jc w:val="both"/>
      <w:outlineLvl w:val="6"/>
    </w:pPr>
    <w:rPr>
      <w:rFonts w:ascii="Garamond" w:hAnsi="Garamond"/>
      <w:color w:val="FF00FF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993"/>
      </w:tabs>
      <w:spacing w:line="360" w:lineRule="exact"/>
      <w:jc w:val="both"/>
    </w:pPr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semiHidden/>
    <w:pPr>
      <w:tabs>
        <w:tab w:val="left" w:pos="2835"/>
      </w:tabs>
      <w:ind w:left="1418"/>
      <w:jc w:val="both"/>
    </w:pPr>
    <w:rPr>
      <w:rFonts w:ascii="Bookman Old Style" w:hAnsi="Bookman Old Style"/>
      <w:sz w:val="24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Recuodecorpodetexto3">
    <w:name w:val="Body Text Indent 3"/>
    <w:basedOn w:val="Normal"/>
    <w:semiHidden/>
    <w:pPr>
      <w:tabs>
        <w:tab w:val="left" w:pos="-142"/>
      </w:tabs>
      <w:spacing w:line="360" w:lineRule="exact"/>
      <w:ind w:left="709"/>
      <w:jc w:val="both"/>
    </w:pPr>
    <w:rPr>
      <w:rFonts w:ascii="Bookman Old Style" w:hAnsi="Bookman Old Style"/>
      <w:sz w:val="24"/>
    </w:rPr>
  </w:style>
  <w:style w:type="paragraph" w:styleId="Textoembloco">
    <w:name w:val="Block Text"/>
    <w:basedOn w:val="Normal"/>
    <w:semiHidden/>
    <w:pPr>
      <w:ind w:left="1134" w:right="1467" w:firstLine="142"/>
      <w:jc w:val="both"/>
    </w:pPr>
  </w:style>
  <w:style w:type="paragraph" w:styleId="Textodenotaderodap">
    <w:name w:val="footnote text"/>
    <w:basedOn w:val="Normal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semiHidden/>
    <w:pPr>
      <w:spacing w:line="360" w:lineRule="exact"/>
      <w:ind w:firstLine="709"/>
      <w:jc w:val="both"/>
    </w:pPr>
    <w:rPr>
      <w:rFonts w:ascii="Garamond" w:hAnsi="Garamond"/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Voto nº </vt:lpstr>
    </vt:vector>
  </TitlesOfParts>
  <Company>Justiça Eleitoral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nº</dc:title>
  <dc:creator>Administrador</dc:creator>
  <cp:lastModifiedBy>convex</cp:lastModifiedBy>
  <cp:revision>2</cp:revision>
  <cp:lastPrinted>2013-09-04T20:32:00Z</cp:lastPrinted>
  <dcterms:created xsi:type="dcterms:W3CDTF">2013-09-04T22:28:00Z</dcterms:created>
  <dcterms:modified xsi:type="dcterms:W3CDTF">2013-09-04T22:28:00Z</dcterms:modified>
</cp:coreProperties>
</file>